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56" w:rsidRDefault="009D4A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D4A56" w:rsidRDefault="009D4A56">
      <w:pPr>
        <w:pStyle w:val="ConsPlusNormal"/>
        <w:jc w:val="both"/>
        <w:outlineLvl w:val="0"/>
      </w:pPr>
    </w:p>
    <w:p w:rsidR="009D4A56" w:rsidRDefault="009D4A56">
      <w:pPr>
        <w:pStyle w:val="ConsPlusTitle"/>
        <w:jc w:val="center"/>
        <w:outlineLvl w:val="0"/>
      </w:pPr>
      <w:r>
        <w:t>ГОРОДСКАЯ ДУМА ГОРОДА ИЖЕВСКА</w:t>
      </w:r>
    </w:p>
    <w:p w:rsidR="009D4A56" w:rsidRDefault="009D4A56">
      <w:pPr>
        <w:pStyle w:val="ConsPlusTitle"/>
        <w:jc w:val="center"/>
      </w:pPr>
    </w:p>
    <w:p w:rsidR="009D4A56" w:rsidRDefault="009D4A56">
      <w:pPr>
        <w:pStyle w:val="ConsPlusTitle"/>
        <w:jc w:val="center"/>
      </w:pPr>
      <w:r>
        <w:t>РЕШЕНИЕ</w:t>
      </w:r>
    </w:p>
    <w:p w:rsidR="009D4A56" w:rsidRDefault="009D4A56">
      <w:pPr>
        <w:pStyle w:val="ConsPlusTitle"/>
        <w:jc w:val="center"/>
      </w:pPr>
      <w:r>
        <w:t>от 18 ноября 2021 г. N 199</w:t>
      </w:r>
    </w:p>
    <w:p w:rsidR="009D4A56" w:rsidRDefault="009D4A56">
      <w:pPr>
        <w:pStyle w:val="ConsPlusTitle"/>
        <w:ind w:firstLine="540"/>
        <w:jc w:val="both"/>
      </w:pPr>
    </w:p>
    <w:p w:rsidR="009D4A56" w:rsidRDefault="009D4A56">
      <w:pPr>
        <w:pStyle w:val="ConsPlusTitle"/>
        <w:jc w:val="center"/>
      </w:pPr>
      <w:r>
        <w:t>ОБ УТВЕРЖДЕНИИ ПОЛОЖЕНИЯ О МУНИЦИПАЛЬНОМ КОНТРОЛЕ В ОБЛАСТИ</w:t>
      </w:r>
    </w:p>
    <w:p w:rsidR="009D4A56" w:rsidRDefault="009D4A56">
      <w:pPr>
        <w:pStyle w:val="ConsPlusTitle"/>
        <w:jc w:val="center"/>
      </w:pPr>
      <w:r>
        <w:t>ОХРАНЫ И ИСПОЛЬЗОВАНИЯ ОСОБО ОХРАНЯЕМЫХ ПРИРОДНЫХ ТЕРРИТОРИЙ</w:t>
      </w:r>
    </w:p>
    <w:p w:rsidR="009D4A56" w:rsidRDefault="009D4A56">
      <w:pPr>
        <w:pStyle w:val="ConsPlusTitle"/>
        <w:jc w:val="center"/>
      </w:pPr>
      <w:r>
        <w:t>МЕСТНОГО ЗНАЧЕНИЯ НА ТЕРРИТОРИИ МУНИЦИПАЛЬНОГО ОБРАЗОВАНИЯ</w:t>
      </w:r>
    </w:p>
    <w:p w:rsidR="009D4A56" w:rsidRDefault="009D4A56">
      <w:pPr>
        <w:pStyle w:val="ConsPlusTitle"/>
        <w:jc w:val="center"/>
      </w:pPr>
      <w:r>
        <w:t>"ГОРОД ИЖЕВСК"</w:t>
      </w:r>
    </w:p>
    <w:p w:rsidR="009D4A56" w:rsidRDefault="009D4A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4A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56" w:rsidRDefault="009D4A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Городской думы г. Ижевска от 17.02.2022 </w:t>
            </w:r>
            <w:hyperlink r:id="rId6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7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20.06.2024 </w:t>
            </w:r>
            <w:hyperlink r:id="rId9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10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</w:tr>
    </w:tbl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города Ижевска, Городская дума города Ижевска решает: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муниципальном контроле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на территории муниципального образования "Город Ижевск" (прилагается).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2022 года.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right"/>
      </w:pPr>
      <w:r>
        <w:t>Глава муниципального образования</w:t>
      </w:r>
    </w:p>
    <w:p w:rsidR="009D4A56" w:rsidRDefault="009D4A56">
      <w:pPr>
        <w:pStyle w:val="ConsPlusNormal"/>
        <w:jc w:val="right"/>
      </w:pPr>
      <w:r>
        <w:t>"Город Ижевск"</w:t>
      </w:r>
    </w:p>
    <w:p w:rsidR="009D4A56" w:rsidRDefault="009D4A56">
      <w:pPr>
        <w:pStyle w:val="ConsPlusNormal"/>
        <w:jc w:val="right"/>
      </w:pPr>
      <w:r>
        <w:t>О.Н.БЕКМЕМЕТЬЕВ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right"/>
      </w:pPr>
      <w:r>
        <w:t>Председатель Городской думы</w:t>
      </w:r>
    </w:p>
    <w:p w:rsidR="009D4A56" w:rsidRDefault="009D4A56">
      <w:pPr>
        <w:pStyle w:val="ConsPlusNormal"/>
        <w:jc w:val="right"/>
      </w:pPr>
      <w:r>
        <w:t>города Ижевска</w:t>
      </w:r>
    </w:p>
    <w:p w:rsidR="009D4A56" w:rsidRDefault="009D4A56">
      <w:pPr>
        <w:pStyle w:val="ConsPlusNormal"/>
        <w:jc w:val="right"/>
      </w:pPr>
      <w:r>
        <w:t>Ф.И.ГУБАЕВ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right"/>
        <w:outlineLvl w:val="0"/>
      </w:pPr>
      <w:r>
        <w:t>Утверждено</w:t>
      </w:r>
    </w:p>
    <w:p w:rsidR="009D4A56" w:rsidRDefault="009D4A56">
      <w:pPr>
        <w:pStyle w:val="ConsPlusNormal"/>
        <w:jc w:val="right"/>
      </w:pPr>
      <w:r>
        <w:t>решением</w:t>
      </w:r>
    </w:p>
    <w:p w:rsidR="009D4A56" w:rsidRDefault="009D4A56">
      <w:pPr>
        <w:pStyle w:val="ConsPlusNormal"/>
        <w:jc w:val="right"/>
      </w:pPr>
      <w:r>
        <w:t>Городской думы города Ижевска</w:t>
      </w:r>
    </w:p>
    <w:p w:rsidR="009D4A56" w:rsidRDefault="009D4A56">
      <w:pPr>
        <w:pStyle w:val="ConsPlusNormal"/>
        <w:jc w:val="right"/>
      </w:pPr>
      <w:r>
        <w:t>от 18 ноября 2021 г. N 199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</w:pPr>
      <w:bookmarkStart w:id="0" w:name="P36"/>
      <w:bookmarkEnd w:id="0"/>
      <w:r>
        <w:t>ПОЛОЖЕНИЕ</w:t>
      </w:r>
    </w:p>
    <w:p w:rsidR="009D4A56" w:rsidRDefault="009D4A56">
      <w:pPr>
        <w:pStyle w:val="ConsPlusTitle"/>
        <w:jc w:val="center"/>
      </w:pPr>
      <w:r>
        <w:t>О МУНИЦИПАЛЬНОМ КОНТРОЛЕ В ОБЛАСТИ ОХРАНЫ И ИСПОЛЬЗОВАНИЯ</w:t>
      </w:r>
    </w:p>
    <w:p w:rsidR="009D4A56" w:rsidRDefault="009D4A56">
      <w:pPr>
        <w:pStyle w:val="ConsPlusTitle"/>
        <w:jc w:val="center"/>
      </w:pPr>
      <w:r>
        <w:t>ОСОБО ОХРАНЯЕМЫХ ПРИРОДНЫХ ТЕРРИТОРИЙ МЕСТНОГО ЗНАЧЕНИЯ</w:t>
      </w:r>
    </w:p>
    <w:p w:rsidR="009D4A56" w:rsidRDefault="009D4A56">
      <w:pPr>
        <w:pStyle w:val="ConsPlusTitle"/>
        <w:jc w:val="center"/>
      </w:pPr>
      <w:r>
        <w:t>НА ТЕРРИТОРИИ МУНИЦИПАЛЬНОГО ОБРАЗОВАНИЯ "ГОРОД ИЖЕВСК"</w:t>
      </w:r>
    </w:p>
    <w:p w:rsidR="009D4A56" w:rsidRDefault="009D4A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4A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56" w:rsidRDefault="009D4A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решений Городской думы г. Ижевска от 17.02.2022 </w:t>
            </w:r>
            <w:hyperlink r:id="rId14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15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28.09.2023 </w:t>
            </w:r>
            <w:hyperlink r:id="rId1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20.06.2024 </w:t>
            </w:r>
            <w:hyperlink r:id="rId17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18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</w:tr>
    </w:tbl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  <w:outlineLvl w:val="1"/>
      </w:pPr>
      <w:r>
        <w:t>1. Общие положения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>1.1. Настоящее Положение (далее - Положение)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"Город Ижевск" (далее - муниципальный контроль).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на территории муниципального образования "Город Ижевск", применяются положения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Предметом муниципального контроля является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14 марта 1995 года N 33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Удмуртской Республики в области охраны и использования</w:t>
      </w:r>
      <w:proofErr w:type="gramEnd"/>
      <w:r>
        <w:t xml:space="preserve"> особо охраняемых природных территорий, касающихся: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режима особо охраняемой природной территории;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3) режима охранных зон особо охраняемых природных территорий.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21">
        <w:r>
          <w:rPr>
            <w:color w:val="0000FF"/>
          </w:rPr>
          <w:t>Решение</w:t>
        </w:r>
      </w:hyperlink>
      <w:r>
        <w:t xml:space="preserve"> Городской думы г. Ижевска от 20.03.2025 N 720.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1.4. Учет объектов муниципального контроля обеспечивается органом муниципального контроля в рамках осуществления муниципального контроля.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1.5. Муниципальный контроль осуществляется должностными лицами отраслевого </w:t>
      </w:r>
      <w:proofErr w:type="gramStart"/>
      <w:r>
        <w:t>органа Администрации города Ижевска Управления благоустройства</w:t>
      </w:r>
      <w:proofErr w:type="gramEnd"/>
      <w:r>
        <w:t xml:space="preserve"> и охраны окружающей среды Администрации города Ижевска (далее - орган муниципального контроля, Управление благоустройства и охраны окружающей среды), перечень которых предусмотрен правовым актом Администрации города Ижевска.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1.6. Должностным лицом, уполномоченным на принятие решения о проведении контрольных мероприятий, является Заместитель Главы Администрации - начальник Управления благоустройства и охраны окружающей среды, заместитель начальника Управления благоустройства и охраны окружающей среды либо лица, исполняющие их обязанности.</w:t>
      </w:r>
    </w:p>
    <w:p w:rsidR="009D4A56" w:rsidRDefault="009D4A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решения</w:t>
        </w:r>
      </w:hyperlink>
      <w:r>
        <w:t xml:space="preserve"> Городской думы г. Ижевска от 20.06.2024 N 571)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1.7. Права и обязанности должностных лиц органа муниципального контроля осуществляются в соответствии со </w:t>
      </w:r>
      <w:hyperlink r:id="rId23">
        <w:r>
          <w:rPr>
            <w:color w:val="0000FF"/>
          </w:rPr>
          <w:t>статьей 29</w:t>
        </w:r>
      </w:hyperlink>
      <w:r>
        <w:t xml:space="preserve"> Федерального закона N 248-ФЗ, в рамках закрепленных полномочий.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lastRenderedPageBreak/>
        <w:t xml:space="preserve">1.8. </w:t>
      </w:r>
      <w:proofErr w:type="gramStart"/>
      <w:r>
        <w:t xml:space="preserve">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в сроки и порядке, установленные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248-ФЗ,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размещения сведений на официальном сайте муниципального образования "Город Ижевск" в информационно-телекоммуникационной сети "Интернет" </w:t>
      </w:r>
      <w:hyperlink r:id="rId25">
        <w:r>
          <w:rPr>
            <w:color w:val="0000FF"/>
          </w:rPr>
          <w:t>www</w:t>
        </w:r>
        <w:proofErr w:type="gramEnd"/>
        <w:r>
          <w:rPr>
            <w:color w:val="0000FF"/>
          </w:rPr>
          <w:t>.izh.ru</w:t>
        </w:r>
      </w:hyperlink>
      <w:r>
        <w:t xml:space="preserve">, адрес веб-страницы </w:t>
      </w:r>
      <w:hyperlink r:id="rId26">
        <w:r>
          <w:rPr>
            <w:color w:val="0000FF"/>
          </w:rPr>
          <w:t>https://www.izh.ru/i/info/14271.html</w:t>
        </w:r>
      </w:hyperlink>
      <w:r>
        <w:t xml:space="preserve">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  <w:outlineLvl w:val="1"/>
      </w:pPr>
      <w:r>
        <w:t>2. Виды профилактических мероприятий, которые проводятся</w:t>
      </w:r>
    </w:p>
    <w:p w:rsidR="009D4A56" w:rsidRDefault="009D4A56">
      <w:pPr>
        <w:pStyle w:val="ConsPlusTitle"/>
        <w:jc w:val="center"/>
      </w:pPr>
      <w:r>
        <w:t>при осуществлении муниципального контроля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>2.1. При осуществлении муниципального контроля орган муниципального контроля проводит следующие виды профилактических мероприятий: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консультирование;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4) профилактический визит.</w:t>
      </w:r>
    </w:p>
    <w:p w:rsidR="009D4A56" w:rsidRDefault="009D4A56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решением</w:t>
        </w:r>
      </w:hyperlink>
      <w:r>
        <w:t xml:space="preserve"> Городской думы г. Ижевска от 20.03.2025 N 720)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2.2. Информирование контролируемых и иных заинтересованных лиц по вопросам соблюдения обязательных требований.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2.2.1. 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2.2.2. Орган муниципального контроля размещает и поддерживает в актуальном состоянии на своем официальном сайте сведения, определенные </w:t>
      </w:r>
      <w:hyperlink r:id="rId28">
        <w:r>
          <w:rPr>
            <w:color w:val="0000FF"/>
          </w:rPr>
          <w:t>частью 3 статьи 46</w:t>
        </w:r>
      </w:hyperlink>
      <w:r>
        <w:t xml:space="preserve"> Федерального закона N 248-ФЗ.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2.3. Консультирование.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2.3.1. Консультирование контролируемых лиц и их представителей осуществляется в соответствии со </w:t>
      </w:r>
      <w:hyperlink r:id="rId29">
        <w:r>
          <w:rPr>
            <w:color w:val="0000FF"/>
          </w:rPr>
          <w:t>статьей 50</w:t>
        </w:r>
      </w:hyperlink>
      <w:r>
        <w:t xml:space="preserve"> Федерального закона N 248-ФЗ по вопросам, связанным с организацией и осуществлением муниципального контроля: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порядка проведения контрольных мероприятий;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периодичности проведения контрольных мероприятий;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3) порядка принятия решений по итогам контрольных мероприятий.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2.3.2. Должностные лица осуществляют консультирование контролируемых лиц и их представителей: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2) посредством размещения на официальном сайте письменного разъяснения по </w:t>
      </w:r>
      <w:r>
        <w:lastRenderedPageBreak/>
        <w:t>однотипным обращениям (более 5 однотипных обращений) контролируемых лиц и их представителей, подписанного уполномоченным должностным лицом органа муниципального контроля.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2.3.3. По итогам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запроса в письменной форме или в форме электронного документа в сроки, установленные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 Объявление предостережения.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2.4.1.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2.4.2. Возражение направляется должностному лицу, объявившему предостережение, не позднее 15 календарных дней с момента получения предостережения.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2.4.3. Возражение должно содержать: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наименование органа муниципального контроля, в который направляется возражение;</w:t>
      </w:r>
    </w:p>
    <w:p w:rsidR="009D4A56" w:rsidRDefault="009D4A56">
      <w:pPr>
        <w:pStyle w:val="ConsPlusNormal"/>
        <w:spacing w:before="220"/>
        <w:ind w:firstLine="540"/>
        <w:jc w:val="both"/>
      </w:pPr>
      <w:proofErr w:type="gramStart"/>
      <w: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D4A56" w:rsidRDefault="009D4A56">
      <w:pPr>
        <w:pStyle w:val="ConsPlusNormal"/>
        <w:spacing w:before="220"/>
        <w:ind w:firstLine="540"/>
        <w:jc w:val="both"/>
      </w:pPr>
      <w:r>
        <w:t>3) дату и номер предостережения;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4) 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объявленным предостережением;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5) дату получения предостережения контролируемым лицом;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6) личную подпись и дату.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2.4.4.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2.4.5. По результатам рассмотрения возражения орган муниципального контроля принимает одно из следующих решений: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удовлетворяет возражение в форме отмены объявленного предостережения;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отказывает в удовлетворении возражения.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2.4.6. Орган муниципального контроля рассматривает возражение и направляет ответ с обоснованием принятого решения контролируемому лицу в течение 20 рабочих дней со дня получения возражения.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2.4.7. Повторное направление возражения по тем же основаниям не допускается.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2.5. Профилактический визит.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2.5.1. Профилактический визит осуществляется органом муниципального контроля в соответствии со </w:t>
      </w:r>
      <w:hyperlink r:id="rId31">
        <w:r>
          <w:rPr>
            <w:color w:val="0000FF"/>
          </w:rPr>
          <w:t>статьями 52</w:t>
        </w:r>
      </w:hyperlink>
      <w:r>
        <w:t xml:space="preserve">, </w:t>
      </w:r>
      <w:hyperlink r:id="rId32">
        <w:r>
          <w:rPr>
            <w:color w:val="0000FF"/>
          </w:rPr>
          <w:t>52.1</w:t>
        </w:r>
      </w:hyperlink>
      <w:r>
        <w:t xml:space="preserve"> и </w:t>
      </w:r>
      <w:hyperlink r:id="rId33">
        <w:r>
          <w:rPr>
            <w:color w:val="0000FF"/>
          </w:rPr>
          <w:t>52.2</w:t>
        </w:r>
      </w:hyperlink>
      <w:r>
        <w:t xml:space="preserve"> Федерального закона N 248-ФЗ.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lastRenderedPageBreak/>
        <w:t>2.5.2. Обязательные профилактические визиты для объектов, относящихся к категориям низкого и умеренного риска, не проводятся.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Периодичность проведения обязательных профилактических визитов в отношении объектов контроля, отнесенных к категории среднего риска, определяется Правительством Российской Федерации.</w:t>
      </w:r>
    </w:p>
    <w:p w:rsidR="009D4A56" w:rsidRDefault="009D4A5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введен </w:t>
      </w:r>
      <w:hyperlink r:id="rId34">
        <w:r>
          <w:rPr>
            <w:color w:val="0000FF"/>
          </w:rPr>
          <w:t>решением</w:t>
        </w:r>
      </w:hyperlink>
      <w:r>
        <w:t xml:space="preserve"> Городской думы г. Ижевска от 20.03.2025 N 720)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  <w:outlineLvl w:val="1"/>
      </w:pPr>
      <w:r>
        <w:t>3. Контрольные мероприятия, проводимые в рамках</w:t>
      </w:r>
    </w:p>
    <w:p w:rsidR="009D4A56" w:rsidRDefault="009D4A56">
      <w:pPr>
        <w:pStyle w:val="ConsPlusTitle"/>
        <w:jc w:val="center"/>
      </w:pPr>
      <w:r>
        <w:t>муниципального контроля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>3.1. Контрольные мероприятия. Общие вопросы.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3.1.1. При осуществлении муниципального контроля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</w:t>
      </w:r>
      <w:hyperlink r:id="rId35">
        <w:r>
          <w:rPr>
            <w:color w:val="0000FF"/>
          </w:rPr>
          <w:t>статьей 66</w:t>
        </w:r>
      </w:hyperlink>
      <w:r>
        <w:t xml:space="preserve"> Федерального закона N 248-ФЗ.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3.1.2. Взаимодействие с контролируемым лицом осуществляется при проведении следующих контрольных мероприятий: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документарная проверка;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выездная проверка.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3.1.3.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наблюдение за соблюдением обязательных требований;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выездное обследование.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3.1.4. Контрольные мероприятия, за исключением контрольных мероприятий без взаимодействия, могут проводиться на внеплановой основе только путем совершения должностным лицом и лицами, привлекаемыми к проведению контрольного мероприятия, следующих контрольных действий: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осмотр;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опрос;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4) истребование документов;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5) инструментальное обследование.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3.2. Документарная проверка.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3.2.1. Документарная проверка проводится по месту нахождения органа муниципального контроля в порядке, установленном </w:t>
      </w:r>
      <w:hyperlink r:id="rId36">
        <w:r>
          <w:rPr>
            <w:color w:val="0000FF"/>
          </w:rPr>
          <w:t>статьей 72</w:t>
        </w:r>
      </w:hyperlink>
      <w:r>
        <w:t xml:space="preserve"> Федерального закона N 248-ФЗ.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3.2.2. Документарная проверка проводится по основаниям, предусмотренным </w:t>
      </w:r>
      <w:hyperlink r:id="rId37">
        <w:r>
          <w:rPr>
            <w:color w:val="0000FF"/>
          </w:rPr>
          <w:t>пунктами 1</w:t>
        </w:r>
      </w:hyperlink>
      <w:r>
        <w:t xml:space="preserve">, </w:t>
      </w:r>
      <w:hyperlink r:id="rId38">
        <w:r>
          <w:rPr>
            <w:color w:val="0000FF"/>
          </w:rPr>
          <w:t>3</w:t>
        </w:r>
      </w:hyperlink>
      <w:r>
        <w:t xml:space="preserve"> - </w:t>
      </w:r>
      <w:hyperlink r:id="rId39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3.2.3. В ходе документарной проверки могут совершаться следующие контрольные действия: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lastRenderedPageBreak/>
        <w:t>1) получение письменных объяснений;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истребование документов.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3.3. Выездная проверка.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3.3.2. Выездная проверка проводится в случае, если не представляется возможным: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3.3.3.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3.3.4. В ходе выездной проверки могут совершаться следующие контрольные действия: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осмотр;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опрос;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4) инструментальное обследование;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5) истребование документов.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3.3.5. В ходе выездной проверки должностным лицом органа муниципального контроля в целях фиксации доказательств нарушения объектами надзора обязательных требований, установленных законодательством Российской Федерации, могут использоваться фотосъемка, аудио- и видеозапись.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 при осуществлении контрольных мероприятий, принимается инспектором самостоятельно.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 (далее - акт).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Фиксация нарушений обязательных требований при помощи фотосъемки проводится не </w:t>
      </w:r>
      <w:r>
        <w:lastRenderedPageBreak/>
        <w:t>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3.3.6.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обстоятельствами: болезнь, командировка, участие в судебном процессе, в </w:t>
      </w:r>
      <w:proofErr w:type="gramStart"/>
      <w:r>
        <w:t>связи</w:t>
      </w:r>
      <w:proofErr w:type="gramEnd"/>
      <w:r>
        <w:t xml:space="preserve"> с чем проведение контрольного мероприятия переносится органом муниципального контроля на срок, необходимый для устранения данных обстоятельств.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3.4. Наблюдение за соблюдением обязательных требований.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3.4.1. Наблюдение за соблюдением обязательных требований проводится в соответствии со </w:t>
      </w:r>
      <w:hyperlink r:id="rId40">
        <w:r>
          <w:rPr>
            <w:color w:val="0000FF"/>
          </w:rPr>
          <w:t>статьей 74</w:t>
        </w:r>
      </w:hyperlink>
      <w:r>
        <w:t xml:space="preserve"> Федерального закона N 248-ФЗ без взаимодействия с контролируемым лицом.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3.4.2. Наблюдение за соблюдением обязательных требований проводится на основании заданий руководителя органа муниципального контроля, его заместителя либо лиц, исполняющих их обязанности, включая задания, содержащиеся в планах работы органа муниципального контроля, в том числе в случаях, установленных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248-ФЗ.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3.5. Выездное обследование.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3.5.1. Выездное обследование проводится в соответствии со </w:t>
      </w:r>
      <w:hyperlink r:id="rId42">
        <w:r>
          <w:rPr>
            <w:color w:val="0000FF"/>
          </w:rPr>
          <w:t>статьей 75</w:t>
        </w:r>
      </w:hyperlink>
      <w:r>
        <w:t xml:space="preserve"> Федерального закона N 248-ФЗ без взаимодействия с контролируемым лицом.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В ходе выездного обследования могут совершаться следующие контрольные действия: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1) осмотр;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2) инструментальное обследование (с применением видеозаписи).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3.5.2. Выездное обследование проводится должностными лицами органа муниципального контроля по месту нахождения (осуществления деятельности) контролируемого лица без взаимодействия с ним.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Выездное обследование проводится на основании заданий органа муниципального контроля, в том числе в случаях, установленных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N 248-ФЗ.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Порядок содержания таких заданий и порядок оформления результатов выездного обследования утверждается актом органа муниципального контроля.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  <w:outlineLvl w:val="1"/>
      </w:pPr>
      <w:r>
        <w:t>4. Обжалование решений, действий (бездействия) должностных</w:t>
      </w:r>
    </w:p>
    <w:p w:rsidR="009D4A56" w:rsidRDefault="009D4A56">
      <w:pPr>
        <w:pStyle w:val="ConsPlusTitle"/>
        <w:jc w:val="center"/>
      </w:pPr>
      <w:r>
        <w:t>лиц, уполномоченных осуществлять муниципальный контроль</w:t>
      </w:r>
    </w:p>
    <w:p w:rsidR="009D4A56" w:rsidRDefault="009D4A56">
      <w:pPr>
        <w:pStyle w:val="ConsPlusTitle"/>
        <w:jc w:val="center"/>
      </w:pPr>
      <w:r>
        <w:lastRenderedPageBreak/>
        <w:t xml:space="preserve">в области охраны и использования особо </w:t>
      </w:r>
      <w:proofErr w:type="gramStart"/>
      <w:r>
        <w:t>охраняемых</w:t>
      </w:r>
      <w:proofErr w:type="gramEnd"/>
    </w:p>
    <w:p w:rsidR="009D4A56" w:rsidRDefault="009D4A56">
      <w:pPr>
        <w:pStyle w:val="ConsPlusTitle"/>
        <w:jc w:val="center"/>
      </w:pPr>
      <w:r>
        <w:t>природных территорий местного значения</w:t>
      </w:r>
    </w:p>
    <w:p w:rsidR="009D4A56" w:rsidRDefault="009D4A56">
      <w:pPr>
        <w:pStyle w:val="ConsPlusTitle"/>
        <w:jc w:val="center"/>
      </w:pPr>
      <w:r>
        <w:t>на территории муниципального образования</w:t>
      </w:r>
    </w:p>
    <w:p w:rsidR="009D4A56" w:rsidRDefault="009D4A56">
      <w:pPr>
        <w:pStyle w:val="ConsPlusTitle"/>
        <w:jc w:val="center"/>
      </w:pPr>
      <w:r>
        <w:t>"Город Ижевск"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center"/>
      </w:pPr>
      <w:proofErr w:type="gramStart"/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Городской думы г. Ижевска</w:t>
      </w:r>
      <w:proofErr w:type="gramEnd"/>
    </w:p>
    <w:p w:rsidR="009D4A56" w:rsidRDefault="009D4A56">
      <w:pPr>
        <w:pStyle w:val="ConsPlusNormal"/>
        <w:jc w:val="center"/>
      </w:pPr>
      <w:r>
        <w:t>от 28.09.2023 N 470)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>4.1. Решения органа муниципального контроля,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4.2. Досудебный порядок подачи жалоб на решения органа муниципального контроля, действия (бездействие) должностных лиц, уполномоченных осуществлять муниципальный контроль, не применяется.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  <w:outlineLvl w:val="1"/>
      </w:pPr>
      <w:r>
        <w:t>5. Ключевые и индикативные показатели результативности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center"/>
      </w:pPr>
      <w:proofErr w:type="gramStart"/>
      <w:r>
        <w:t xml:space="preserve">(введен </w:t>
      </w:r>
      <w:hyperlink r:id="rId45">
        <w:r>
          <w:rPr>
            <w:color w:val="0000FF"/>
          </w:rPr>
          <w:t>решением</w:t>
        </w:r>
      </w:hyperlink>
      <w:r>
        <w:t xml:space="preserve"> Городской думы г. Ижевска</w:t>
      </w:r>
      <w:proofErr w:type="gramEnd"/>
    </w:p>
    <w:p w:rsidR="009D4A56" w:rsidRDefault="009D4A56">
      <w:pPr>
        <w:pStyle w:val="ConsPlusNormal"/>
        <w:jc w:val="center"/>
      </w:pPr>
      <w:r>
        <w:t>от 17.02.2022 N 229)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sectPr w:rsidR="009D4A56" w:rsidSect="00725B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324"/>
        <w:gridCol w:w="3402"/>
        <w:gridCol w:w="3628"/>
        <w:gridCol w:w="1304"/>
        <w:gridCol w:w="1701"/>
      </w:tblGrid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lastRenderedPageBreak/>
              <w:t>Номер (индекс) показателя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Источник данных для определения значения показателя</w:t>
            </w:r>
          </w:p>
        </w:tc>
      </w:tr>
      <w:tr w:rsidR="009D4A56">
        <w:tc>
          <w:tcPr>
            <w:tcW w:w="13606" w:type="dxa"/>
            <w:gridSpan w:val="6"/>
          </w:tcPr>
          <w:p w:rsidR="009D4A56" w:rsidRDefault="009D4A56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</w:pPr>
            <w: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А.1.1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Причинение вреда окружающей среде в результате нарушений природоохранного законодательства на территории Удмуртской Республики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 xml:space="preserve">МУоопт = </w:t>
            </w:r>
            <w:proofErr w:type="gramStart"/>
            <w:r>
              <w:t>У(</w:t>
            </w:r>
            <w:proofErr w:type="gramEnd"/>
            <w:r>
              <w:t>жр) + У(д) + У(в)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 xml:space="preserve">МУоопт - вред, причиненный окружающей среде в результате нарушений режима особой охраны на особо охраняемых природных территориях регионального значения, рублей; </w:t>
            </w:r>
            <w:proofErr w:type="gramStart"/>
            <w:r>
              <w:t>У(</w:t>
            </w:r>
            <w:proofErr w:type="gramEnd"/>
            <w:r>
              <w:t xml:space="preserve">жр) - вред, причиненный в результате уничтожения редких и находящихся под угрозой исчезновения видов животных или растений, занесенных в Красную книгу Российской Федерации и Красную книгу Удмуртской Республики, на особо охраняемых природных территориях регионального значения; </w:t>
            </w:r>
            <w:proofErr w:type="gramStart"/>
            <w:r>
              <w:t>У(</w:t>
            </w:r>
            <w:proofErr w:type="gramEnd"/>
            <w:r>
              <w:t>д) - вред, причиненный вследствие нарушения лесного законодательства лесным насаждениям; У(в) - вред, причиненный водным объектам вследствие нарушения водного законодательства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3606" w:type="dxa"/>
            <w:gridSpan w:val="6"/>
          </w:tcPr>
          <w:p w:rsidR="009D4A56" w:rsidRDefault="009D4A56">
            <w:pPr>
              <w:pStyle w:val="ConsPlusNormal"/>
              <w:jc w:val="center"/>
              <w:outlineLvl w:val="2"/>
            </w:pPr>
            <w:r>
              <w:t>Индикативные показатели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lastRenderedPageBreak/>
              <w:t>Б</w:t>
            </w: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</w:pPr>
            <w:proofErr w:type="gramStart"/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Б.1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Эффективность муниципального контроля (надзора) в области охраны и использования особо охраняемых природных территорий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(</w:t>
            </w:r>
            <w:proofErr w:type="gramStart"/>
            <w:r>
              <w:t>У(</w:t>
            </w:r>
            <w:proofErr w:type="gramEnd"/>
            <w:r>
              <w:t>Т) / У(Т-1) x 100%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proofErr w:type="gramStart"/>
            <w:r>
              <w:t>У(</w:t>
            </w:r>
            <w:proofErr w:type="gramEnd"/>
            <w:r>
              <w:t>Т) - разница между причиненным ущербом в предшествующем периоде (Т-1) и причиненным ущербом в текущем периоде (Т), рублей; У (Т-1) - причиненный ущерб в предшествующем периоде (Т-1), рублей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В.1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Количество предписаний об устранении выявленных нарушений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статистический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В.1.1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Количество невыполненных предписаний об устранении выявленных нарушений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статистический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В.2</w:t>
            </w: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  <w:jc w:val="center"/>
            </w:pPr>
            <w:r>
              <w:t>Проверки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lastRenderedPageBreak/>
              <w:t>В.2.1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Количество проведенных контрольных (надзорных) мероприятий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Показатель учитывает суммарное количество контрольных (надзорных) мероприятий, проведенных в отношении контролируемых лиц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В.3</w:t>
            </w: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</w:pPr>
            <w:r>
              <w:t>Индикативные показатели, характеризующие параметры проведенных контрольных (надзорных) мероприятий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В.3.1</w:t>
            </w: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  <w:jc w:val="center"/>
            </w:pPr>
            <w:r>
              <w:t>Проверки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В.3.1.1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Общее количество контрольных (надзорных) мероприятий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В.3.1.2 + В.3.1.3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расчетный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В.3.1.2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Общее количество плановых контрольных (надзорных) мероприятий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статистический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В.3.1.3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Общее количество внеплановых контрольных (надзорных) мероприятий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статистический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Отчеты и иные аналитические материалы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В.4</w:t>
            </w:r>
          </w:p>
        </w:tc>
        <w:tc>
          <w:tcPr>
            <w:tcW w:w="12359" w:type="dxa"/>
            <w:gridSpan w:val="5"/>
          </w:tcPr>
          <w:p w:rsidR="009D4A56" w:rsidRDefault="009D4A56">
            <w:pPr>
              <w:pStyle w:val="ConsPlusNormal"/>
              <w:jc w:val="center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9D4A56">
        <w:tc>
          <w:tcPr>
            <w:tcW w:w="1247" w:type="dxa"/>
          </w:tcPr>
          <w:p w:rsidR="009D4A56" w:rsidRDefault="009D4A56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2324" w:type="dxa"/>
          </w:tcPr>
          <w:p w:rsidR="009D4A56" w:rsidRDefault="009D4A56">
            <w:pPr>
              <w:pStyle w:val="ConsPlusNormal"/>
              <w:jc w:val="center"/>
            </w:pPr>
            <w:r>
              <w:t>Количество штатных единиц, в должностные обязанности которых входит выполнение контрольно-надзорных функций, человек</w:t>
            </w:r>
          </w:p>
        </w:tc>
        <w:tc>
          <w:tcPr>
            <w:tcW w:w="3402" w:type="dxa"/>
          </w:tcPr>
          <w:p w:rsidR="009D4A56" w:rsidRDefault="009D4A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628" w:type="dxa"/>
          </w:tcPr>
          <w:p w:rsidR="009D4A56" w:rsidRDefault="009D4A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9D4A56" w:rsidRDefault="009D4A56">
            <w:pPr>
              <w:pStyle w:val="ConsPlusNormal"/>
            </w:pPr>
          </w:p>
        </w:tc>
        <w:tc>
          <w:tcPr>
            <w:tcW w:w="1701" w:type="dxa"/>
          </w:tcPr>
          <w:p w:rsidR="009D4A56" w:rsidRDefault="009D4A56">
            <w:pPr>
              <w:pStyle w:val="ConsPlusNormal"/>
              <w:jc w:val="center"/>
            </w:pPr>
            <w:r>
              <w:t>Данные штатного расписания</w:t>
            </w:r>
          </w:p>
        </w:tc>
      </w:tr>
    </w:tbl>
    <w:p w:rsidR="009D4A56" w:rsidRDefault="009D4A56">
      <w:pPr>
        <w:pStyle w:val="ConsPlusNormal"/>
        <w:sectPr w:rsidR="009D4A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  <w:outlineLvl w:val="1"/>
      </w:pPr>
      <w:r>
        <w:t>6. Индикаторы риска нарушения обязательных требований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 xml:space="preserve">Утратил силу. - </w:t>
      </w:r>
      <w:hyperlink r:id="rId46">
        <w:r>
          <w:rPr>
            <w:color w:val="0000FF"/>
          </w:rPr>
          <w:t>Решение</w:t>
        </w:r>
      </w:hyperlink>
      <w:r>
        <w:t xml:space="preserve"> Городской думы г. Ижевска от 28.09.2023 N 470.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  <w:outlineLvl w:val="1"/>
      </w:pPr>
      <w:r>
        <w:t xml:space="preserve">7. Управление рисками причинения вреда (ущерба) </w:t>
      </w:r>
      <w:proofErr w:type="gramStart"/>
      <w:r>
        <w:t>охраняемым</w:t>
      </w:r>
      <w:proofErr w:type="gramEnd"/>
    </w:p>
    <w:p w:rsidR="009D4A56" w:rsidRDefault="009D4A56">
      <w:pPr>
        <w:pStyle w:val="ConsPlusTitle"/>
        <w:jc w:val="center"/>
      </w:pPr>
      <w:r>
        <w:t>законом ценностям при осуществлении муниципального контроля</w:t>
      </w:r>
    </w:p>
    <w:p w:rsidR="009D4A56" w:rsidRDefault="009D4A56">
      <w:pPr>
        <w:pStyle w:val="ConsPlusTitle"/>
        <w:jc w:val="center"/>
      </w:pPr>
      <w:r>
        <w:t xml:space="preserve">в области охраны и использования особо </w:t>
      </w:r>
      <w:proofErr w:type="gramStart"/>
      <w:r>
        <w:t>охраняемых</w:t>
      </w:r>
      <w:proofErr w:type="gramEnd"/>
      <w:r>
        <w:t xml:space="preserve"> природных</w:t>
      </w:r>
    </w:p>
    <w:p w:rsidR="009D4A56" w:rsidRDefault="009D4A56">
      <w:pPr>
        <w:pStyle w:val="ConsPlusTitle"/>
        <w:jc w:val="center"/>
      </w:pPr>
      <w:r>
        <w:t>территорий местного значения на территории муниципального</w:t>
      </w:r>
    </w:p>
    <w:p w:rsidR="009D4A56" w:rsidRDefault="009D4A56">
      <w:pPr>
        <w:pStyle w:val="ConsPlusTitle"/>
        <w:jc w:val="center"/>
      </w:pPr>
      <w:r>
        <w:t>образования "Город Ижевск"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center"/>
      </w:pPr>
      <w:proofErr w:type="gramStart"/>
      <w:r>
        <w:t xml:space="preserve">(введен </w:t>
      </w:r>
      <w:hyperlink r:id="rId47">
        <w:r>
          <w:rPr>
            <w:color w:val="0000FF"/>
          </w:rPr>
          <w:t>решением</w:t>
        </w:r>
      </w:hyperlink>
      <w:r>
        <w:t xml:space="preserve"> Городской думы г. Ижевска</w:t>
      </w:r>
      <w:proofErr w:type="gramEnd"/>
    </w:p>
    <w:p w:rsidR="009D4A56" w:rsidRDefault="009D4A56">
      <w:pPr>
        <w:pStyle w:val="ConsPlusNormal"/>
        <w:jc w:val="center"/>
      </w:pPr>
      <w:r>
        <w:t>от 20.03.2025 N 720)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 xml:space="preserve">7.1. 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осуществляется на основе управления рисками причинения вреда (ущерба) охраняемым законом ценностям,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7.2. Для целей управления рисками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объекты контроля подлежат отнесению к одной из следующих категорий риска причинения вреда (ущерба) охраняемым законом ценностям (далее - категории риска):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средний риск;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умеренный риск;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низкий риск.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 xml:space="preserve">7.3. Отнесение органом муниципального контроля объекта контроля к одной из категорий риска осуществляется на основе сопоставления характеристик объекта контроля с </w:t>
      </w:r>
      <w:hyperlink w:anchor="P299">
        <w:r>
          <w:rPr>
            <w:color w:val="0000FF"/>
          </w:rPr>
          <w:t>критериями</w:t>
        </w:r>
      </w:hyperlink>
      <w:r>
        <w:t xml:space="preserve"> отнесения объектов контроля к категориям риска согласно приложению 1 к настоящему Положению.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В случае если объект не отнесен к определенной категории риска, он считается отнесенным к категории низкого риска.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7.4. 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7.5.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right"/>
        <w:outlineLvl w:val="1"/>
      </w:pPr>
      <w:r>
        <w:lastRenderedPageBreak/>
        <w:t>Приложение 1</w:t>
      </w:r>
    </w:p>
    <w:p w:rsidR="009D4A56" w:rsidRDefault="009D4A56">
      <w:pPr>
        <w:pStyle w:val="ConsPlusNormal"/>
        <w:jc w:val="right"/>
      </w:pPr>
      <w:r>
        <w:t>к Положению</w:t>
      </w:r>
    </w:p>
    <w:p w:rsidR="009D4A56" w:rsidRDefault="009D4A56">
      <w:pPr>
        <w:pStyle w:val="ConsPlusNormal"/>
        <w:jc w:val="right"/>
      </w:pPr>
      <w:r>
        <w:t>о муниципальном контроле</w:t>
      </w:r>
    </w:p>
    <w:p w:rsidR="009D4A56" w:rsidRDefault="009D4A56">
      <w:pPr>
        <w:pStyle w:val="ConsPlusNormal"/>
        <w:jc w:val="right"/>
      </w:pPr>
      <w:r>
        <w:t>в области охраны</w:t>
      </w:r>
    </w:p>
    <w:p w:rsidR="009D4A56" w:rsidRDefault="009D4A56">
      <w:pPr>
        <w:pStyle w:val="ConsPlusNormal"/>
        <w:jc w:val="right"/>
      </w:pPr>
      <w:r>
        <w:t>и использования особо</w:t>
      </w:r>
    </w:p>
    <w:p w:rsidR="009D4A56" w:rsidRDefault="009D4A56">
      <w:pPr>
        <w:pStyle w:val="ConsPlusNormal"/>
        <w:jc w:val="right"/>
      </w:pPr>
      <w:r>
        <w:t>охраняемых природных</w:t>
      </w:r>
    </w:p>
    <w:p w:rsidR="009D4A56" w:rsidRDefault="009D4A56">
      <w:pPr>
        <w:pStyle w:val="ConsPlusNormal"/>
        <w:jc w:val="right"/>
      </w:pPr>
      <w:r>
        <w:t>территорий местного</w:t>
      </w:r>
    </w:p>
    <w:p w:rsidR="009D4A56" w:rsidRDefault="009D4A56">
      <w:pPr>
        <w:pStyle w:val="ConsPlusNormal"/>
        <w:jc w:val="right"/>
      </w:pPr>
      <w:r>
        <w:t>значения на территории</w:t>
      </w:r>
    </w:p>
    <w:p w:rsidR="009D4A56" w:rsidRDefault="009D4A56">
      <w:pPr>
        <w:pStyle w:val="ConsPlusNormal"/>
        <w:jc w:val="right"/>
      </w:pPr>
      <w:r>
        <w:t>муниципального образования</w:t>
      </w:r>
    </w:p>
    <w:p w:rsidR="009D4A56" w:rsidRDefault="009D4A56">
      <w:pPr>
        <w:pStyle w:val="ConsPlusNormal"/>
        <w:jc w:val="right"/>
      </w:pPr>
      <w:r>
        <w:t>"Город Ижевск",</w:t>
      </w:r>
    </w:p>
    <w:p w:rsidR="009D4A56" w:rsidRDefault="009D4A56">
      <w:pPr>
        <w:pStyle w:val="ConsPlusNormal"/>
        <w:jc w:val="right"/>
      </w:pPr>
      <w:r>
        <w:t>утвержденному</w:t>
      </w:r>
    </w:p>
    <w:p w:rsidR="009D4A56" w:rsidRDefault="009D4A56">
      <w:pPr>
        <w:pStyle w:val="ConsPlusNormal"/>
        <w:jc w:val="right"/>
      </w:pPr>
      <w:r>
        <w:t>решением</w:t>
      </w:r>
    </w:p>
    <w:p w:rsidR="009D4A56" w:rsidRDefault="009D4A56">
      <w:pPr>
        <w:pStyle w:val="ConsPlusNormal"/>
        <w:jc w:val="right"/>
      </w:pPr>
      <w:r>
        <w:t>Городской думы города Ижевска</w:t>
      </w:r>
    </w:p>
    <w:p w:rsidR="009D4A56" w:rsidRDefault="009D4A56">
      <w:pPr>
        <w:pStyle w:val="ConsPlusNormal"/>
        <w:jc w:val="right"/>
      </w:pPr>
      <w:r>
        <w:t>от 18 ноября 2021 г. N 199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</w:pPr>
      <w:bookmarkStart w:id="1" w:name="P299"/>
      <w:bookmarkEnd w:id="1"/>
      <w:r>
        <w:t>КРИТЕРИИ</w:t>
      </w:r>
    </w:p>
    <w:p w:rsidR="009D4A56" w:rsidRDefault="009D4A56">
      <w:pPr>
        <w:pStyle w:val="ConsPlusTitle"/>
        <w:jc w:val="center"/>
      </w:pPr>
      <w:r>
        <w:t>ОТНЕСЕНИЯ ОБЪЕКТОВ МУНИЦИПАЛЬНОГО КОНТРОЛЯ В ОБЛАСТИ ОХРАНЫ</w:t>
      </w:r>
    </w:p>
    <w:p w:rsidR="009D4A56" w:rsidRDefault="009D4A56">
      <w:pPr>
        <w:pStyle w:val="ConsPlusTitle"/>
        <w:jc w:val="center"/>
      </w:pPr>
      <w:r>
        <w:t>И ИСПОЛЬЗОВАНИЯ ОСОБО ОХРАНЯЕМЫХ ПРИРОДНЫХ ТЕРРИТОРИЙ</w:t>
      </w:r>
    </w:p>
    <w:p w:rsidR="009D4A56" w:rsidRDefault="009D4A56">
      <w:pPr>
        <w:pStyle w:val="ConsPlusTitle"/>
        <w:jc w:val="center"/>
      </w:pPr>
      <w:r>
        <w:t>МЕСТНОГО ЗНАЧЕНИЯ К КАТЕГОРИЯМ РИСКОВ ПРИЧИНЕНИЯ ВРЕДА</w:t>
      </w:r>
    </w:p>
    <w:p w:rsidR="009D4A56" w:rsidRDefault="009D4A56">
      <w:pPr>
        <w:pStyle w:val="ConsPlusTitle"/>
        <w:jc w:val="center"/>
      </w:pPr>
      <w:r>
        <w:t>(УЩЕРБА) ОХРАНЯЕМЫМ ЗАКОНОМ ЦЕННОСТЯМ ПРИ ОСУЩЕСТВЛЕНИИ</w:t>
      </w:r>
    </w:p>
    <w:p w:rsidR="009D4A56" w:rsidRDefault="009D4A56">
      <w:pPr>
        <w:pStyle w:val="ConsPlusTitle"/>
        <w:jc w:val="center"/>
      </w:pPr>
      <w:r>
        <w:t>МУНИЦИПАЛЬНОГО КОНТРОЛЯ В ОБЛАСТИ ОХРАНЫ И ИСПОЛЬЗОВАНИЯ</w:t>
      </w:r>
    </w:p>
    <w:p w:rsidR="009D4A56" w:rsidRDefault="009D4A56">
      <w:pPr>
        <w:pStyle w:val="ConsPlusTitle"/>
        <w:jc w:val="center"/>
      </w:pPr>
      <w:r>
        <w:t>ОСОБО ОХРАНЯЕМЫХ ПРИРОДНЫХ ТЕРРИТОРИЙ МЕСТНОГО ЗНАЧЕНИЯ</w:t>
      </w:r>
    </w:p>
    <w:p w:rsidR="009D4A56" w:rsidRDefault="009D4A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D4A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56" w:rsidRDefault="009D4A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Городской думы г. Ижевска от 20.03.2025 N 720)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</w:tr>
    </w:tbl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>Критериями отнесения объектов муниципального контроля к категориям риска являются: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1. Для категории среднего риска - наличие в течение календарного года более двух неисполненных контролируемым лицом предписаний об устранении выявленных нарушений обязательных требований (за исключением отмененных или признанных судом незаконными);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 Для категории умеренного риска - выдача контролируемому лицу в календарном году более двух предписаний об устранении выявленных нарушений обязательных требований (за исключением отмененных или признанных судом незаконными);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 Для категории низкого риска - отсутствие обстоятельств, предусмотренных для категорий умеренного и среднего риска.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right"/>
        <w:outlineLvl w:val="1"/>
      </w:pPr>
      <w:r>
        <w:t>Приложение 2</w:t>
      </w:r>
    </w:p>
    <w:p w:rsidR="009D4A56" w:rsidRDefault="009D4A56">
      <w:pPr>
        <w:pStyle w:val="ConsPlusNormal"/>
        <w:jc w:val="right"/>
      </w:pPr>
      <w:r>
        <w:t>к Положению</w:t>
      </w:r>
    </w:p>
    <w:p w:rsidR="009D4A56" w:rsidRDefault="009D4A56">
      <w:pPr>
        <w:pStyle w:val="ConsPlusNormal"/>
        <w:jc w:val="right"/>
      </w:pPr>
      <w:r>
        <w:t>о муниципальном контроле</w:t>
      </w:r>
    </w:p>
    <w:p w:rsidR="009D4A56" w:rsidRDefault="009D4A56">
      <w:pPr>
        <w:pStyle w:val="ConsPlusNormal"/>
        <w:jc w:val="right"/>
      </w:pPr>
      <w:r>
        <w:t>в области охраны</w:t>
      </w:r>
    </w:p>
    <w:p w:rsidR="009D4A56" w:rsidRDefault="009D4A56">
      <w:pPr>
        <w:pStyle w:val="ConsPlusNormal"/>
        <w:jc w:val="right"/>
      </w:pPr>
      <w:r>
        <w:t>и использования особо</w:t>
      </w:r>
    </w:p>
    <w:p w:rsidR="009D4A56" w:rsidRDefault="009D4A56">
      <w:pPr>
        <w:pStyle w:val="ConsPlusNormal"/>
        <w:jc w:val="right"/>
      </w:pPr>
      <w:r>
        <w:t>охраняемых природных</w:t>
      </w:r>
    </w:p>
    <w:p w:rsidR="009D4A56" w:rsidRDefault="009D4A56">
      <w:pPr>
        <w:pStyle w:val="ConsPlusNormal"/>
        <w:jc w:val="right"/>
      </w:pPr>
      <w:r>
        <w:t>территорий местного</w:t>
      </w:r>
    </w:p>
    <w:p w:rsidR="009D4A56" w:rsidRDefault="009D4A56">
      <w:pPr>
        <w:pStyle w:val="ConsPlusNormal"/>
        <w:jc w:val="right"/>
      </w:pPr>
      <w:r>
        <w:t>значения на территории</w:t>
      </w:r>
    </w:p>
    <w:p w:rsidR="009D4A56" w:rsidRDefault="009D4A56">
      <w:pPr>
        <w:pStyle w:val="ConsPlusNormal"/>
        <w:jc w:val="right"/>
      </w:pPr>
      <w:r>
        <w:t>муниципального образования</w:t>
      </w:r>
    </w:p>
    <w:p w:rsidR="009D4A56" w:rsidRDefault="009D4A56">
      <w:pPr>
        <w:pStyle w:val="ConsPlusNormal"/>
        <w:jc w:val="right"/>
      </w:pPr>
      <w:r>
        <w:t>"Город Ижевск",</w:t>
      </w:r>
    </w:p>
    <w:p w:rsidR="009D4A56" w:rsidRDefault="009D4A56">
      <w:pPr>
        <w:pStyle w:val="ConsPlusNormal"/>
        <w:jc w:val="right"/>
      </w:pPr>
      <w:r>
        <w:lastRenderedPageBreak/>
        <w:t>утвержденному</w:t>
      </w:r>
    </w:p>
    <w:p w:rsidR="009D4A56" w:rsidRDefault="009D4A56">
      <w:pPr>
        <w:pStyle w:val="ConsPlusNormal"/>
        <w:jc w:val="right"/>
      </w:pPr>
      <w:r>
        <w:t>решением</w:t>
      </w:r>
    </w:p>
    <w:p w:rsidR="009D4A56" w:rsidRDefault="009D4A56">
      <w:pPr>
        <w:pStyle w:val="ConsPlusNormal"/>
        <w:jc w:val="right"/>
      </w:pPr>
      <w:r>
        <w:t>Городской думы города Ижевска</w:t>
      </w:r>
    </w:p>
    <w:p w:rsidR="009D4A56" w:rsidRDefault="009D4A56">
      <w:pPr>
        <w:pStyle w:val="ConsPlusNormal"/>
        <w:jc w:val="right"/>
      </w:pPr>
      <w:r>
        <w:t>от 18 ноября 2021 г. N 199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Title"/>
        <w:jc w:val="center"/>
      </w:pPr>
      <w:r>
        <w:t>ИНДИКАТОРЫ</w:t>
      </w:r>
    </w:p>
    <w:p w:rsidR="009D4A56" w:rsidRDefault="009D4A56">
      <w:pPr>
        <w:pStyle w:val="ConsPlusTitle"/>
        <w:jc w:val="center"/>
      </w:pPr>
      <w:r>
        <w:t>РИСКА НАРУШЕНИЯ ОБЯЗАТЕЛЬНЫХ ТРЕБОВАНИЙ ПРИ ОСУЩЕСТВЛЕНИИ</w:t>
      </w:r>
    </w:p>
    <w:p w:rsidR="009D4A56" w:rsidRDefault="009D4A56">
      <w:pPr>
        <w:pStyle w:val="ConsPlusTitle"/>
        <w:jc w:val="center"/>
      </w:pPr>
      <w:r>
        <w:t>МУНИЦИПАЛЬНОГО КОНТРОЛЯ В ОБЛАСТИ ОХРАНЫ И ИСПОЛЬЗОВАНИЯ</w:t>
      </w:r>
    </w:p>
    <w:p w:rsidR="009D4A56" w:rsidRDefault="009D4A56">
      <w:pPr>
        <w:pStyle w:val="ConsPlusTitle"/>
        <w:jc w:val="center"/>
      </w:pPr>
      <w:r>
        <w:t>ОСОБО ОХРАНЯЕМЫХ ПРИРОДНЫХ ТЕРРИТОРИЙ МЕСТНОГО ЗНАЧЕНИЯ</w:t>
      </w:r>
    </w:p>
    <w:p w:rsidR="009D4A56" w:rsidRDefault="009D4A56">
      <w:pPr>
        <w:pStyle w:val="ConsPlusTitle"/>
        <w:jc w:val="center"/>
      </w:pPr>
      <w:r>
        <w:t>НА ТЕРРИТОРИИ МУНИЦИПАЛЬНОГО ОБРАЗОВАНИЯ "ГОРОД ИЖЕВСК"</w:t>
      </w:r>
    </w:p>
    <w:p w:rsidR="009D4A56" w:rsidRDefault="009D4A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D4A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56" w:rsidRDefault="009D4A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A56" w:rsidRDefault="009D4A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Городской думы г. Ижевска от 20.03.2025 N 720)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56" w:rsidRDefault="009D4A56">
            <w:pPr>
              <w:pStyle w:val="ConsPlusNormal"/>
            </w:pPr>
          </w:p>
        </w:tc>
      </w:tr>
    </w:tbl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ind w:firstLine="540"/>
        <w:jc w:val="both"/>
      </w:pPr>
      <w:r>
        <w:t>1. Выявление признаков нарушения Правил в области охраны и использования особо охраняемых природных территорий местного значения на территории муниципального образования контролируемым лицом более трех раз в течение календарного года;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2. Наличие в течение квартала двух и более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обязательных требований контролируемым лицом;</w:t>
      </w:r>
    </w:p>
    <w:p w:rsidR="009D4A56" w:rsidRDefault="009D4A56">
      <w:pPr>
        <w:pStyle w:val="ConsPlusNormal"/>
        <w:spacing w:before="220"/>
        <w:ind w:firstLine="540"/>
        <w:jc w:val="both"/>
      </w:pPr>
      <w:r>
        <w:t>3. Невыполнение в течение календарного года контролируемым лицом в установленный срок двух законных предписаний контрольно-надзорного органа, осуществляющего муниципальный контроль в области охраны и использования особо охраняемых природных территорий местного значения на территории муниципального образования "Город Ижевск".</w:t>
      </w: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jc w:val="both"/>
      </w:pPr>
    </w:p>
    <w:p w:rsidR="009D4A56" w:rsidRDefault="009D4A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150" w:rsidRDefault="009C1150">
      <w:bookmarkStart w:id="2" w:name="_GoBack"/>
      <w:bookmarkEnd w:id="2"/>
    </w:p>
    <w:sectPr w:rsidR="009C115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56"/>
    <w:rsid w:val="009C1150"/>
    <w:rsid w:val="009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4A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4A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66585&amp;dst=101472" TargetMode="External"/><Relationship Id="rId18" Type="http://schemas.openxmlformats.org/officeDocument/2006/relationships/hyperlink" Target="https://login.consultant.ru/link/?req=doc&amp;base=RLAW053&amp;n=166291&amp;dst=100039" TargetMode="External"/><Relationship Id="rId26" Type="http://schemas.openxmlformats.org/officeDocument/2006/relationships/hyperlink" Target="https://www.izh.ru/i/info/14271.html" TargetMode="External"/><Relationship Id="rId39" Type="http://schemas.openxmlformats.org/officeDocument/2006/relationships/hyperlink" Target="https://login.consultant.ru/link/?req=doc&amp;base=LAW&amp;n=495001&amp;dst=1006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66291&amp;dst=100040" TargetMode="External"/><Relationship Id="rId34" Type="http://schemas.openxmlformats.org/officeDocument/2006/relationships/hyperlink" Target="https://login.consultant.ru/link/?req=doc&amp;base=RLAW053&amp;n=166291&amp;dst=100044" TargetMode="External"/><Relationship Id="rId42" Type="http://schemas.openxmlformats.org/officeDocument/2006/relationships/hyperlink" Target="https://login.consultant.ru/link/?req=doc&amp;base=LAW&amp;n=495001&amp;dst=101242" TargetMode="External"/><Relationship Id="rId47" Type="http://schemas.openxmlformats.org/officeDocument/2006/relationships/hyperlink" Target="https://login.consultant.ru/link/?req=doc&amp;base=RLAW053&amp;n=166291&amp;dst=10004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53&amp;n=141140&amp;dst=100050" TargetMode="External"/><Relationship Id="rId12" Type="http://schemas.openxmlformats.org/officeDocument/2006/relationships/hyperlink" Target="https://login.consultant.ru/link/?req=doc&amp;base=LAW&amp;n=480999&amp;dst=1003" TargetMode="External"/><Relationship Id="rId17" Type="http://schemas.openxmlformats.org/officeDocument/2006/relationships/hyperlink" Target="https://login.consultant.ru/link/?req=doc&amp;base=RLAW053&amp;n=158964&amp;dst=100007" TargetMode="External"/><Relationship Id="rId25" Type="http://schemas.openxmlformats.org/officeDocument/2006/relationships/hyperlink" Target="www.izh.ru" TargetMode="External"/><Relationship Id="rId33" Type="http://schemas.openxmlformats.org/officeDocument/2006/relationships/hyperlink" Target="https://login.consultant.ru/link/?req=doc&amp;base=LAW&amp;n=495001&amp;dst=101391" TargetMode="External"/><Relationship Id="rId38" Type="http://schemas.openxmlformats.org/officeDocument/2006/relationships/hyperlink" Target="https://login.consultant.ru/link/?req=doc&amp;base=LAW&amp;n=495001&amp;dst=100636" TargetMode="External"/><Relationship Id="rId46" Type="http://schemas.openxmlformats.org/officeDocument/2006/relationships/hyperlink" Target="https://login.consultant.ru/link/?req=doc&amp;base=RLAW053&amp;n=151310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51310&amp;dst=100011" TargetMode="External"/><Relationship Id="rId20" Type="http://schemas.openxmlformats.org/officeDocument/2006/relationships/hyperlink" Target="https://login.consultant.ru/link/?req=doc&amp;base=LAW&amp;n=481407" TargetMode="External"/><Relationship Id="rId29" Type="http://schemas.openxmlformats.org/officeDocument/2006/relationships/hyperlink" Target="https://login.consultant.ru/link/?req=doc&amp;base=LAW&amp;n=495001&amp;dst=100553" TargetMode="External"/><Relationship Id="rId41" Type="http://schemas.openxmlformats.org/officeDocument/2006/relationships/hyperlink" Target="https://login.consultant.ru/link/?req=doc&amp;base=LAW&amp;n=4950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35694&amp;dst=100005" TargetMode="External"/><Relationship Id="rId11" Type="http://schemas.openxmlformats.org/officeDocument/2006/relationships/hyperlink" Target="https://login.consultant.ru/link/?req=doc&amp;base=LAW&amp;n=495001&amp;dst=100088" TargetMode="External"/><Relationship Id="rId24" Type="http://schemas.openxmlformats.org/officeDocument/2006/relationships/hyperlink" Target="https://login.consultant.ru/link/?req=doc&amp;base=LAW&amp;n=495001" TargetMode="External"/><Relationship Id="rId32" Type="http://schemas.openxmlformats.org/officeDocument/2006/relationships/hyperlink" Target="https://login.consultant.ru/link/?req=doc&amp;base=LAW&amp;n=495001&amp;dst=101366" TargetMode="External"/><Relationship Id="rId37" Type="http://schemas.openxmlformats.org/officeDocument/2006/relationships/hyperlink" Target="https://login.consultant.ru/link/?req=doc&amp;base=LAW&amp;n=495001&amp;dst=100634" TargetMode="External"/><Relationship Id="rId40" Type="http://schemas.openxmlformats.org/officeDocument/2006/relationships/hyperlink" Target="https://login.consultant.ru/link/?req=doc&amp;base=LAW&amp;n=495001&amp;dst=100888" TargetMode="External"/><Relationship Id="rId45" Type="http://schemas.openxmlformats.org/officeDocument/2006/relationships/hyperlink" Target="https://login.consultant.ru/link/?req=doc&amp;base=RLAW053&amp;n=135694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41140&amp;dst=100050" TargetMode="External"/><Relationship Id="rId23" Type="http://schemas.openxmlformats.org/officeDocument/2006/relationships/hyperlink" Target="https://login.consultant.ru/link/?req=doc&amp;base=LAW&amp;n=495001&amp;dst=100315" TargetMode="External"/><Relationship Id="rId28" Type="http://schemas.openxmlformats.org/officeDocument/2006/relationships/hyperlink" Target="https://login.consultant.ru/link/?req=doc&amp;base=LAW&amp;n=495001&amp;dst=100512" TargetMode="External"/><Relationship Id="rId36" Type="http://schemas.openxmlformats.org/officeDocument/2006/relationships/hyperlink" Target="https://login.consultant.ru/link/?req=doc&amp;base=LAW&amp;n=495001&amp;dst=100851" TargetMode="External"/><Relationship Id="rId49" Type="http://schemas.openxmlformats.org/officeDocument/2006/relationships/hyperlink" Target="https://login.consultant.ru/link/?req=doc&amp;base=RLAW053&amp;n=166291&amp;dst=100067" TargetMode="External"/><Relationship Id="rId10" Type="http://schemas.openxmlformats.org/officeDocument/2006/relationships/hyperlink" Target="https://login.consultant.ru/link/?req=doc&amp;base=RLAW053&amp;n=166291&amp;dst=100039" TargetMode="External"/><Relationship Id="rId19" Type="http://schemas.openxmlformats.org/officeDocument/2006/relationships/hyperlink" Target="https://login.consultant.ru/link/?req=doc&amp;base=LAW&amp;n=495001" TargetMode="External"/><Relationship Id="rId31" Type="http://schemas.openxmlformats.org/officeDocument/2006/relationships/hyperlink" Target="https://login.consultant.ru/link/?req=doc&amp;base=LAW&amp;n=495001&amp;dst=101361" TargetMode="External"/><Relationship Id="rId44" Type="http://schemas.openxmlformats.org/officeDocument/2006/relationships/hyperlink" Target="https://login.consultant.ru/link/?req=doc&amp;base=RLAW053&amp;n=151310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8964&amp;dst=100007" TargetMode="External"/><Relationship Id="rId14" Type="http://schemas.openxmlformats.org/officeDocument/2006/relationships/hyperlink" Target="https://login.consultant.ru/link/?req=doc&amp;base=RLAW053&amp;n=135694&amp;dst=100005" TargetMode="External"/><Relationship Id="rId22" Type="http://schemas.openxmlformats.org/officeDocument/2006/relationships/hyperlink" Target="https://login.consultant.ru/link/?req=doc&amp;base=RLAW053&amp;n=158964&amp;dst=100008" TargetMode="External"/><Relationship Id="rId27" Type="http://schemas.openxmlformats.org/officeDocument/2006/relationships/hyperlink" Target="https://login.consultant.ru/link/?req=doc&amp;base=RLAW053&amp;n=166291&amp;dst=100042" TargetMode="External"/><Relationship Id="rId30" Type="http://schemas.openxmlformats.org/officeDocument/2006/relationships/hyperlink" Target="https://login.consultant.ru/link/?req=doc&amp;base=LAW&amp;n=494960" TargetMode="External"/><Relationship Id="rId35" Type="http://schemas.openxmlformats.org/officeDocument/2006/relationships/hyperlink" Target="https://login.consultant.ru/link/?req=doc&amp;base=LAW&amp;n=495001&amp;dst=100728" TargetMode="External"/><Relationship Id="rId43" Type="http://schemas.openxmlformats.org/officeDocument/2006/relationships/hyperlink" Target="https://login.consultant.ru/link/?req=doc&amp;base=LAW&amp;n=495001" TargetMode="External"/><Relationship Id="rId48" Type="http://schemas.openxmlformats.org/officeDocument/2006/relationships/hyperlink" Target="https://login.consultant.ru/link/?req=doc&amp;base=RLAW053&amp;n=166291&amp;dst=100060" TargetMode="External"/><Relationship Id="rId8" Type="http://schemas.openxmlformats.org/officeDocument/2006/relationships/hyperlink" Target="https://login.consultant.ru/link/?req=doc&amp;base=RLAW053&amp;n=151310&amp;dst=10001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2025-05-27T13:23:00Z</dcterms:created>
  <dcterms:modified xsi:type="dcterms:W3CDTF">2025-05-27T13:23:00Z</dcterms:modified>
</cp:coreProperties>
</file>